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007" w:rsidRDefault="001D7007" w:rsidP="001D7007">
      <w:pPr>
        <w:jc w:val="both"/>
      </w:pPr>
      <w:bookmarkStart w:id="0" w:name="_GoBack"/>
      <w:bookmarkEnd w:id="0"/>
    </w:p>
    <w:p w:rsidR="001D7007" w:rsidRDefault="001D7007" w:rsidP="001D7007">
      <w:pPr>
        <w:jc w:val="both"/>
        <w:rPr>
          <w:b/>
          <w:bCs/>
          <w:sz w:val="28"/>
        </w:rPr>
      </w:pPr>
      <w:r>
        <w:rPr>
          <w:b/>
          <w:bCs/>
          <w:sz w:val="28"/>
        </w:rPr>
        <w:t xml:space="preserve">Technical Information: </w:t>
      </w:r>
    </w:p>
    <w:p w:rsidR="001D7007" w:rsidRPr="00482EBF" w:rsidRDefault="001D7007" w:rsidP="001D7007">
      <w:pPr>
        <w:jc w:val="both"/>
        <w:rPr>
          <w:b/>
          <w:bCs/>
        </w:rPr>
      </w:pPr>
      <w:r>
        <w:rPr>
          <w:b/>
          <w:bCs/>
          <w:sz w:val="28"/>
        </w:rPr>
        <w:t>EnviroKlenz</w:t>
      </w:r>
      <w:r w:rsidRPr="00482EBF">
        <w:rPr>
          <w:b/>
          <w:bCs/>
          <w:sz w:val="28"/>
          <w:vertAlign w:val="superscript"/>
        </w:rPr>
        <w:t>®</w:t>
      </w:r>
      <w:r>
        <w:rPr>
          <w:b/>
          <w:bCs/>
          <w:sz w:val="28"/>
        </w:rPr>
        <w:t xml:space="preserve"> </w:t>
      </w:r>
      <w:r w:rsidRPr="00482EBF">
        <w:rPr>
          <w:b/>
          <w:bCs/>
          <w:sz w:val="28"/>
        </w:rPr>
        <w:t>For Mold-Generated Volatile Organic Chemicals (VOCs) Control</w:t>
      </w:r>
    </w:p>
    <w:p w:rsidR="001D7007" w:rsidRDefault="001D7007" w:rsidP="001D7007">
      <w:pPr>
        <w:jc w:val="both"/>
        <w:rPr>
          <w:u w:val="single"/>
        </w:rPr>
      </w:pPr>
    </w:p>
    <w:p w:rsidR="001D7007" w:rsidRPr="00A26663" w:rsidRDefault="001D7007" w:rsidP="001D7007">
      <w:pPr>
        <w:jc w:val="both"/>
      </w:pPr>
      <w:r w:rsidRPr="00A26663">
        <w:t>Understanding the long-term effects and risks of environmental exposures to a variety of chemicals is of paramount importance, as within the disaster restoration industry, professionals are routinely exposed to chemical compounds from a variety of sources. It is widely known that water jobs carry the risk of exposure to mold. Most people are aware of the allergic implications of mold exposure, but there are other chemical related risks on virtually all mold and water jobs that are often overlooked.</w:t>
      </w:r>
    </w:p>
    <w:p w:rsidR="001D7007" w:rsidRPr="00A1362B" w:rsidRDefault="001D7007" w:rsidP="001D7007"/>
    <w:p w:rsidR="001D7007" w:rsidRDefault="001D7007" w:rsidP="001D7007">
      <w:pPr>
        <w:pStyle w:val="Heading2"/>
        <w:jc w:val="both"/>
      </w:pPr>
      <w:r>
        <w:t>Background on mold-generated VOCs</w:t>
      </w:r>
    </w:p>
    <w:p w:rsidR="001D7007" w:rsidRPr="00E20A1E" w:rsidRDefault="001D7007" w:rsidP="001D7007"/>
    <w:p w:rsidR="001D7007" w:rsidRPr="00D70923" w:rsidRDefault="001D7007" w:rsidP="001D7007">
      <w:pPr>
        <w:jc w:val="both"/>
      </w:pPr>
      <w:r>
        <w:t xml:space="preserve">Indoor mold growth has long been associated with a musty or earthy smell, which most people find offensive. This characteristic smell has been found to result from the production of VOCs by various molds, such as </w:t>
      </w:r>
      <w:r>
        <w:rPr>
          <w:i/>
        </w:rPr>
        <w:t>Aspergillus</w:t>
      </w:r>
      <w:r>
        <w:t xml:space="preserve"> and </w:t>
      </w:r>
      <w:r>
        <w:rPr>
          <w:i/>
        </w:rPr>
        <w:t>Penicillium</w:t>
      </w:r>
      <w:r>
        <w:t xml:space="preserve"> species</w:t>
      </w:r>
      <w:r>
        <w:rPr>
          <w:rStyle w:val="EndnoteReference"/>
        </w:rPr>
        <w:endnoteReference w:id="1"/>
      </w:r>
      <w:r>
        <w:t xml:space="preserve">. Many different indoor molds produce VOCs, and a large variety of VOCs may be produced depending upon the species of mold, the specific conditions under which it is growing, and the substrate it is growing on.  </w:t>
      </w:r>
    </w:p>
    <w:p w:rsidR="001D7007" w:rsidRDefault="001D7007" w:rsidP="001D7007">
      <w:pPr>
        <w:pStyle w:val="BodyText"/>
      </w:pPr>
    </w:p>
    <w:p w:rsidR="001D7007" w:rsidRDefault="001D7007" w:rsidP="001D7007">
      <w:pPr>
        <w:pStyle w:val="BodyText"/>
        <w:rPr>
          <w:b/>
          <w:bCs/>
        </w:rPr>
      </w:pPr>
      <w:r>
        <w:rPr>
          <w:b/>
          <w:bCs/>
        </w:rPr>
        <w:t>Health hazards</w:t>
      </w:r>
    </w:p>
    <w:p w:rsidR="001D7007" w:rsidRDefault="001D7007" w:rsidP="001D7007">
      <w:pPr>
        <w:pStyle w:val="BodyText"/>
        <w:rPr>
          <w:b/>
          <w:bCs/>
        </w:rPr>
      </w:pPr>
    </w:p>
    <w:p w:rsidR="001D7007" w:rsidRDefault="001D7007" w:rsidP="001D7007">
      <w:pPr>
        <w:pStyle w:val="BodyText"/>
      </w:pPr>
      <w:r>
        <w:t>The VOCs produced by molds have been determined to be hazardous to health</w:t>
      </w:r>
      <w:r>
        <w:rPr>
          <w:rStyle w:val="EndnoteReference"/>
        </w:rPr>
        <w:endnoteReference w:id="2"/>
      </w:r>
      <w:r>
        <w:t>, since they can damage the olfactory system and even be transported into the temporal lobe of the brain via the olfactory bulb</w:t>
      </w:r>
      <w:r>
        <w:rPr>
          <w:rStyle w:val="EndnoteReference"/>
        </w:rPr>
        <w:endnoteReference w:id="3"/>
      </w:r>
      <w:r>
        <w:t>. Some mold-produced VOCs have been demonstrated to be neurotoxic</w:t>
      </w:r>
      <w:r>
        <w:rPr>
          <w:rStyle w:val="EndnoteReference"/>
        </w:rPr>
        <w:endnoteReference w:id="4"/>
      </w:r>
      <w:r>
        <w:t xml:space="preserve"> or to cause pulmonary inflammation</w:t>
      </w:r>
      <w:r>
        <w:rPr>
          <w:rStyle w:val="EndnoteReference"/>
        </w:rPr>
        <w:endnoteReference w:id="5"/>
      </w:r>
      <w:r>
        <w:t>. Persons exposed to indoor molds and mycotoxins (including mold-generated VOCs) have been shown to exhibit symptoms such as poor memory and concentration, in addition to the more commonly known symptoms of eye and throat irritation</w:t>
      </w:r>
      <w:r>
        <w:rPr>
          <w:rStyle w:val="EndnoteReference"/>
        </w:rPr>
        <w:endnoteReference w:id="6"/>
      </w:r>
      <w:r>
        <w:t>. The CDC states "If mold is seen or smelled, there is a potential health risk..."</w:t>
      </w:r>
      <w:r>
        <w:rPr>
          <w:rStyle w:val="EndnoteReference"/>
        </w:rPr>
        <w:endnoteReference w:id="7"/>
      </w:r>
      <w:r>
        <w:t>, and the U.S. EPA offers an entire pamphlet for physicians entitled "Guidance for Clinicians on the Recognition and Management of Health Effects Related to Mold Exposure and Moisture Indoors"</w:t>
      </w:r>
      <w:r>
        <w:rPr>
          <w:rStyle w:val="EndnoteReference"/>
        </w:rPr>
        <w:endnoteReference w:id="8"/>
      </w:r>
      <w:r>
        <w:t xml:space="preserve">.  </w:t>
      </w:r>
    </w:p>
    <w:p w:rsidR="001D7007" w:rsidRDefault="001D7007" w:rsidP="001D7007">
      <w:pPr>
        <w:pStyle w:val="BodyText"/>
      </w:pPr>
    </w:p>
    <w:p w:rsidR="001D7007" w:rsidRDefault="001D7007" w:rsidP="001D7007">
      <w:pPr>
        <w:pStyle w:val="Heading1"/>
      </w:pPr>
      <w:r>
        <w:t>Mold-generated VOC control measures</w:t>
      </w:r>
    </w:p>
    <w:p w:rsidR="001D7007" w:rsidRPr="00E20A1E" w:rsidRDefault="001D7007" w:rsidP="001D7007"/>
    <w:p w:rsidR="001D7007" w:rsidRDefault="001D7007" w:rsidP="001D7007">
      <w:pPr>
        <w:jc w:val="both"/>
      </w:pPr>
      <w:r>
        <w:t xml:space="preserve">Recommended mold-generated VOC control measures center around ridding the building of the source of the VOCs, namely the growing mold. Contaminated materials should be removed from the structure and disposed of, and the conditions which permitted the mold growth should be addressed.  </w:t>
      </w:r>
    </w:p>
    <w:p w:rsidR="001D7007" w:rsidRDefault="001D7007" w:rsidP="001D7007">
      <w:pPr>
        <w:jc w:val="both"/>
      </w:pPr>
    </w:p>
    <w:p w:rsidR="001D7007" w:rsidRDefault="001D7007" w:rsidP="001D7007">
      <w:pPr>
        <w:jc w:val="both"/>
      </w:pPr>
      <w:r>
        <w:t>Additionally, the air inside the building will contain VOCs generated by the mold during the course of its growth. To prevent the health effects of VOC exposure, the building air should be purified. Air purification may need to continue for an extended period of time to allow any VOCs absorbed into the building's interior surfaces, particularly porous surfaces, such as furniture or ceiling tile, to be released.</w:t>
      </w:r>
    </w:p>
    <w:p w:rsidR="001D7007" w:rsidRDefault="001D7007" w:rsidP="001D7007">
      <w:pPr>
        <w:spacing w:before="120" w:after="120"/>
        <w:jc w:val="both"/>
        <w:rPr>
          <w:b/>
          <w:bCs/>
          <w:szCs w:val="20"/>
        </w:rPr>
      </w:pPr>
    </w:p>
    <w:p w:rsidR="001D7007" w:rsidRPr="00482EBF" w:rsidRDefault="001D7007" w:rsidP="001D7007">
      <w:pPr>
        <w:spacing w:before="120" w:after="120"/>
        <w:jc w:val="both"/>
      </w:pPr>
      <w:r>
        <w:rPr>
          <w:b/>
          <w:bCs/>
          <w:szCs w:val="20"/>
        </w:rPr>
        <w:lastRenderedPageBreak/>
        <w:t>Mechanism of action</w:t>
      </w:r>
    </w:p>
    <w:p w:rsidR="001D7007" w:rsidRDefault="001D7007" w:rsidP="001D7007">
      <w:pPr>
        <w:jc w:val="both"/>
        <w:rPr>
          <w:bCs/>
          <w:szCs w:val="20"/>
        </w:rPr>
      </w:pPr>
    </w:p>
    <w:p w:rsidR="001D7007" w:rsidRDefault="001D7007" w:rsidP="001D7007">
      <w:pPr>
        <w:pStyle w:val="Heading2"/>
        <w:jc w:val="both"/>
        <w:rPr>
          <w:b w:val="0"/>
          <w:bCs w:val="0"/>
        </w:rPr>
      </w:pPr>
      <w:r>
        <w:rPr>
          <w:b w:val="0"/>
          <w:bCs w:val="0"/>
        </w:rPr>
        <w:t>The enhanced chemical reactivity found in the EnviroKlenz Cartridge makes it ideal for removing harmful mold-generated VOCs, thus improving the indoor air quality in water and mold-damaged structures.</w:t>
      </w:r>
    </w:p>
    <w:p w:rsidR="001D7007" w:rsidRDefault="001D7007" w:rsidP="001D7007">
      <w:pPr>
        <w:jc w:val="both"/>
        <w:rPr>
          <w:bCs/>
          <w:szCs w:val="20"/>
        </w:rPr>
      </w:pPr>
    </w:p>
    <w:p w:rsidR="001D7007" w:rsidRDefault="001D7007" w:rsidP="001D7007">
      <w:pPr>
        <w:jc w:val="both"/>
        <w:rPr>
          <w:bCs/>
          <w:szCs w:val="20"/>
        </w:rPr>
      </w:pPr>
      <w:r>
        <w:rPr>
          <w:bCs/>
          <w:szCs w:val="20"/>
        </w:rPr>
        <w:t>The proprietary EnviroKlenz formulation contains a blend of high surface area metal oxides.</w:t>
      </w:r>
      <w:r>
        <w:rPr>
          <w:b/>
          <w:bCs/>
          <w:szCs w:val="20"/>
        </w:rPr>
        <w:t xml:space="preserve"> </w:t>
      </w:r>
      <w:r>
        <w:rPr>
          <w:bCs/>
          <w:szCs w:val="20"/>
        </w:rPr>
        <w:t xml:space="preserve">The large surface area to volume ratio of the metal oxides makes them highly chemically reactive, and particularly suitable for chemical reactions involving destructive adsorption. Microbial VOCs which contact the EnviroKlenz formulation are strongly adsorbed and removed from the air stream. Unlike the VOCs adsorbed by activated carbon filters, VOCs bound to EnviroKlenz will not be released by off-gassing later. </w:t>
      </w:r>
    </w:p>
    <w:p w:rsidR="001D7007" w:rsidRDefault="001D7007" w:rsidP="001D7007">
      <w:pPr>
        <w:jc w:val="both"/>
      </w:pPr>
    </w:p>
    <w:p w:rsidR="001D7007" w:rsidRDefault="001D7007" w:rsidP="001D7007">
      <w:pPr>
        <w:jc w:val="both"/>
        <w:rPr>
          <w:b/>
          <w:bCs/>
        </w:rPr>
      </w:pPr>
      <w:r>
        <w:rPr>
          <w:b/>
          <w:bCs/>
        </w:rPr>
        <w:t>Effectiveness</w:t>
      </w:r>
    </w:p>
    <w:p w:rsidR="001D7007" w:rsidRDefault="001D7007" w:rsidP="001D7007">
      <w:pPr>
        <w:jc w:val="both"/>
        <w:rPr>
          <w:bCs/>
        </w:rPr>
      </w:pPr>
    </w:p>
    <w:p w:rsidR="001D7007" w:rsidRPr="00493A43" w:rsidRDefault="001D7007" w:rsidP="001D7007">
      <w:pPr>
        <w:jc w:val="both"/>
        <w:rPr>
          <w:bCs/>
        </w:rPr>
      </w:pPr>
      <w:r>
        <w:rPr>
          <w:bCs/>
        </w:rPr>
        <w:t>The EnviroKlenz formulation was tested against 5 VOCs known to be produced by a number of different fungal species.</w:t>
      </w:r>
      <w:r>
        <w:rPr>
          <w:rStyle w:val="EndnoteReference"/>
          <w:bCs/>
        </w:rPr>
        <w:endnoteReference w:id="9"/>
      </w:r>
      <w:r>
        <w:rPr>
          <w:bCs/>
        </w:rPr>
        <w:t xml:space="preserve"> For this testing, 0.1 g of EnviroKlenz was placed into a headspace vial with ~ 3 µL of test VOC. The vial was capped and crimped, then vortexed to assure good contact between the EnviroKlenz formulation and the test VOC. After 24 h, the vial was subjected to headspace analysis by GC-FID. The results of this analysis are shown in Table 1.</w:t>
      </w:r>
    </w:p>
    <w:p w:rsidR="001D7007" w:rsidRDefault="001D7007" w:rsidP="001D7007">
      <w:pPr>
        <w:jc w:val="both"/>
        <w:rPr>
          <w:b/>
          <w:bCs/>
        </w:rPr>
      </w:pPr>
    </w:p>
    <w:p w:rsidR="001D7007" w:rsidRDefault="001D7007" w:rsidP="001D7007">
      <w:pPr>
        <w:jc w:val="center"/>
        <w:rPr>
          <w:b/>
          <w:bCs/>
        </w:rPr>
      </w:pPr>
      <w:r>
        <w:rPr>
          <w:b/>
          <w:bCs/>
        </w:rPr>
        <w:t>Table 1: Efficacy of EnviroKlenz against Fungal VOCs</w:t>
      </w:r>
    </w:p>
    <w:p w:rsidR="001D7007" w:rsidRPr="00203B7A" w:rsidRDefault="001D7007" w:rsidP="001D7007">
      <w:pPr>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1D7007" w:rsidTr="00122DCB">
        <w:trPr>
          <w:jc w:val="center"/>
        </w:trPr>
        <w:tc>
          <w:tcPr>
            <w:tcW w:w="2880" w:type="dxa"/>
            <w:vAlign w:val="center"/>
          </w:tcPr>
          <w:p w:rsidR="001D7007" w:rsidRPr="00D13233" w:rsidRDefault="001D7007" w:rsidP="00122DCB">
            <w:pPr>
              <w:jc w:val="center"/>
              <w:rPr>
                <w:b/>
              </w:rPr>
            </w:pPr>
            <w:r w:rsidRPr="00D13233">
              <w:rPr>
                <w:b/>
              </w:rPr>
              <w:t>VOC</w:t>
            </w:r>
          </w:p>
        </w:tc>
        <w:tc>
          <w:tcPr>
            <w:tcW w:w="2880" w:type="dxa"/>
            <w:vAlign w:val="center"/>
          </w:tcPr>
          <w:p w:rsidR="001D7007" w:rsidRPr="00D13233" w:rsidRDefault="001D7007" w:rsidP="00122DCB">
            <w:pPr>
              <w:jc w:val="center"/>
              <w:rPr>
                <w:b/>
              </w:rPr>
            </w:pPr>
            <w:r>
              <w:rPr>
                <w:b/>
              </w:rPr>
              <w:t>Odor Characteristic</w:t>
            </w:r>
          </w:p>
        </w:tc>
        <w:tc>
          <w:tcPr>
            <w:tcW w:w="2880" w:type="dxa"/>
            <w:vAlign w:val="center"/>
          </w:tcPr>
          <w:p w:rsidR="001D7007" w:rsidRPr="00D13233" w:rsidRDefault="001D7007" w:rsidP="00122DCB">
            <w:pPr>
              <w:jc w:val="center"/>
              <w:rPr>
                <w:b/>
              </w:rPr>
            </w:pPr>
            <w:r w:rsidRPr="00D13233">
              <w:rPr>
                <w:b/>
              </w:rPr>
              <w:t xml:space="preserve">Percent Removal by </w:t>
            </w:r>
            <w:r>
              <w:rPr>
                <w:b/>
              </w:rPr>
              <w:t>EnviroKlenz</w:t>
            </w:r>
          </w:p>
        </w:tc>
      </w:tr>
      <w:tr w:rsidR="001D7007" w:rsidTr="00122DCB">
        <w:trPr>
          <w:jc w:val="center"/>
        </w:trPr>
        <w:tc>
          <w:tcPr>
            <w:tcW w:w="2880" w:type="dxa"/>
            <w:vAlign w:val="center"/>
          </w:tcPr>
          <w:p w:rsidR="001D7007" w:rsidRDefault="001D7007" w:rsidP="00122DCB">
            <w:pPr>
              <w:jc w:val="center"/>
            </w:pPr>
            <w:r>
              <w:t>3-methyl-1-butanol</w:t>
            </w:r>
          </w:p>
        </w:tc>
        <w:tc>
          <w:tcPr>
            <w:tcW w:w="2880" w:type="dxa"/>
          </w:tcPr>
          <w:p w:rsidR="001D7007" w:rsidRDefault="001D7007" w:rsidP="00122DCB">
            <w:pPr>
              <w:jc w:val="center"/>
            </w:pPr>
            <w:r>
              <w:t>Highly Disagreeable</w:t>
            </w:r>
          </w:p>
        </w:tc>
        <w:tc>
          <w:tcPr>
            <w:tcW w:w="2880" w:type="dxa"/>
            <w:vAlign w:val="center"/>
          </w:tcPr>
          <w:p w:rsidR="001D7007" w:rsidRDefault="001D7007" w:rsidP="00122DCB">
            <w:pPr>
              <w:jc w:val="center"/>
            </w:pPr>
            <w:r>
              <w:t>99.0</w:t>
            </w:r>
          </w:p>
        </w:tc>
      </w:tr>
      <w:tr w:rsidR="001D7007" w:rsidTr="00122DCB">
        <w:trPr>
          <w:jc w:val="center"/>
        </w:trPr>
        <w:tc>
          <w:tcPr>
            <w:tcW w:w="2880" w:type="dxa"/>
            <w:vAlign w:val="center"/>
          </w:tcPr>
          <w:p w:rsidR="001D7007" w:rsidRDefault="001D7007" w:rsidP="00122DCB">
            <w:pPr>
              <w:jc w:val="center"/>
            </w:pPr>
            <w:r>
              <w:t>1-octen-3-ol</w:t>
            </w:r>
          </w:p>
        </w:tc>
        <w:tc>
          <w:tcPr>
            <w:tcW w:w="2880" w:type="dxa"/>
          </w:tcPr>
          <w:p w:rsidR="001D7007" w:rsidRDefault="001D7007" w:rsidP="00122DCB">
            <w:pPr>
              <w:jc w:val="center"/>
            </w:pPr>
            <w:r>
              <w:t>Moldy/Meaty</w:t>
            </w:r>
          </w:p>
        </w:tc>
        <w:tc>
          <w:tcPr>
            <w:tcW w:w="2880" w:type="dxa"/>
            <w:vAlign w:val="center"/>
          </w:tcPr>
          <w:p w:rsidR="001D7007" w:rsidRDefault="001D7007" w:rsidP="00122DCB">
            <w:pPr>
              <w:jc w:val="center"/>
            </w:pPr>
            <w:r>
              <w:t>50.0</w:t>
            </w:r>
          </w:p>
        </w:tc>
      </w:tr>
      <w:tr w:rsidR="001D7007" w:rsidTr="00122DCB">
        <w:trPr>
          <w:jc w:val="center"/>
        </w:trPr>
        <w:tc>
          <w:tcPr>
            <w:tcW w:w="2880" w:type="dxa"/>
            <w:vAlign w:val="center"/>
          </w:tcPr>
          <w:p w:rsidR="001D7007" w:rsidRDefault="001D7007" w:rsidP="00122DCB">
            <w:pPr>
              <w:jc w:val="center"/>
            </w:pPr>
            <w:r>
              <w:t>DMDS</w:t>
            </w:r>
          </w:p>
        </w:tc>
        <w:tc>
          <w:tcPr>
            <w:tcW w:w="2880" w:type="dxa"/>
          </w:tcPr>
          <w:p w:rsidR="001D7007" w:rsidRDefault="001D7007" w:rsidP="00122DCB">
            <w:pPr>
              <w:jc w:val="center"/>
            </w:pPr>
            <w:r>
              <w:t>Unpleasant</w:t>
            </w:r>
          </w:p>
        </w:tc>
        <w:tc>
          <w:tcPr>
            <w:tcW w:w="2880" w:type="dxa"/>
            <w:vAlign w:val="center"/>
          </w:tcPr>
          <w:p w:rsidR="001D7007" w:rsidRDefault="001D7007" w:rsidP="00122DCB">
            <w:pPr>
              <w:jc w:val="center"/>
            </w:pPr>
            <w:r>
              <w:t>61.6</w:t>
            </w:r>
          </w:p>
        </w:tc>
      </w:tr>
      <w:tr w:rsidR="001D7007" w:rsidTr="00122DCB">
        <w:trPr>
          <w:jc w:val="center"/>
        </w:trPr>
        <w:tc>
          <w:tcPr>
            <w:tcW w:w="2880" w:type="dxa"/>
            <w:vAlign w:val="center"/>
          </w:tcPr>
          <w:p w:rsidR="001D7007" w:rsidRDefault="001D7007" w:rsidP="00122DCB">
            <w:pPr>
              <w:jc w:val="center"/>
            </w:pPr>
            <w:r>
              <w:t>2-pentanone</w:t>
            </w:r>
          </w:p>
        </w:tc>
        <w:tc>
          <w:tcPr>
            <w:tcW w:w="2880" w:type="dxa"/>
          </w:tcPr>
          <w:p w:rsidR="001D7007" w:rsidRDefault="001D7007" w:rsidP="00122DCB">
            <w:pPr>
              <w:jc w:val="center"/>
            </w:pPr>
            <w:r>
              <w:t>Acetone</w:t>
            </w:r>
          </w:p>
        </w:tc>
        <w:tc>
          <w:tcPr>
            <w:tcW w:w="2880" w:type="dxa"/>
            <w:vAlign w:val="center"/>
          </w:tcPr>
          <w:p w:rsidR="001D7007" w:rsidRDefault="001D7007" w:rsidP="00122DCB">
            <w:pPr>
              <w:jc w:val="center"/>
            </w:pPr>
            <w:r>
              <w:t>98.2</w:t>
            </w:r>
          </w:p>
        </w:tc>
      </w:tr>
      <w:tr w:rsidR="001D7007" w:rsidTr="00122DCB">
        <w:trPr>
          <w:jc w:val="center"/>
        </w:trPr>
        <w:tc>
          <w:tcPr>
            <w:tcW w:w="2880" w:type="dxa"/>
            <w:vAlign w:val="center"/>
          </w:tcPr>
          <w:p w:rsidR="001D7007" w:rsidRDefault="001D7007" w:rsidP="00122DCB">
            <w:pPr>
              <w:jc w:val="center"/>
            </w:pPr>
            <w:r>
              <w:t>ethyl acetate</w:t>
            </w:r>
          </w:p>
        </w:tc>
        <w:tc>
          <w:tcPr>
            <w:tcW w:w="2880" w:type="dxa"/>
          </w:tcPr>
          <w:p w:rsidR="001D7007" w:rsidRDefault="001D7007" w:rsidP="00122DCB">
            <w:pPr>
              <w:jc w:val="center"/>
            </w:pPr>
            <w:r>
              <w:t>Sweet Odor – associated with glues and nail polish remover</w:t>
            </w:r>
          </w:p>
        </w:tc>
        <w:tc>
          <w:tcPr>
            <w:tcW w:w="2880" w:type="dxa"/>
            <w:vAlign w:val="center"/>
          </w:tcPr>
          <w:p w:rsidR="001D7007" w:rsidRDefault="001D7007" w:rsidP="00122DCB">
            <w:pPr>
              <w:jc w:val="center"/>
            </w:pPr>
            <w:r>
              <w:t>95.1</w:t>
            </w:r>
          </w:p>
        </w:tc>
      </w:tr>
    </w:tbl>
    <w:p w:rsidR="001D7007" w:rsidRDefault="001D7007" w:rsidP="001D7007">
      <w:pPr>
        <w:jc w:val="center"/>
      </w:pPr>
    </w:p>
    <w:p w:rsidR="001D7007" w:rsidRDefault="001D7007" w:rsidP="001D7007">
      <w:pPr>
        <w:jc w:val="both"/>
      </w:pPr>
      <w:r>
        <w:t>As seen in Table 1, EnviroKlenz demonstrates good activity against various selected fungal VOCs.</w:t>
      </w:r>
    </w:p>
    <w:p w:rsidR="001D7007" w:rsidRDefault="001D7007" w:rsidP="001D7007">
      <w:pPr>
        <w:jc w:val="both"/>
        <w:rPr>
          <w:rFonts w:ascii="Century Gothic" w:hAnsi="Century Gothic"/>
        </w:rPr>
      </w:pPr>
    </w:p>
    <w:p w:rsidR="001D7007" w:rsidRDefault="001D7007" w:rsidP="001D7007">
      <w:pPr>
        <w:jc w:val="both"/>
        <w:rPr>
          <w:b/>
          <w:bCs/>
        </w:rPr>
      </w:pPr>
      <w:r>
        <w:rPr>
          <w:b/>
          <w:bCs/>
        </w:rPr>
        <w:br w:type="page"/>
      </w:r>
      <w:r w:rsidRPr="00C50AC3">
        <w:rPr>
          <w:b/>
          <w:bCs/>
        </w:rPr>
        <w:lastRenderedPageBreak/>
        <w:t>Summary</w:t>
      </w:r>
    </w:p>
    <w:p w:rsidR="001D7007" w:rsidRDefault="001D7007" w:rsidP="001D7007">
      <w:pPr>
        <w:jc w:val="both"/>
        <w:rPr>
          <w:b/>
          <w:bCs/>
        </w:rPr>
      </w:pPr>
    </w:p>
    <w:p w:rsidR="001D7007" w:rsidRPr="00C50AC3" w:rsidRDefault="001D7007" w:rsidP="001D7007">
      <w:pPr>
        <w:jc w:val="both"/>
        <w:rPr>
          <w:bCs/>
        </w:rPr>
      </w:pPr>
      <w:r>
        <w:rPr>
          <w:bCs/>
        </w:rPr>
        <w:t>EnviroKlenz</w:t>
      </w:r>
      <w:r w:rsidRPr="00C50AC3">
        <w:rPr>
          <w:bCs/>
        </w:rPr>
        <w:t xml:space="preserve"> is a revolutionary, non-invasive, odor </w:t>
      </w:r>
      <w:r>
        <w:rPr>
          <w:bCs/>
        </w:rPr>
        <w:t>elimination</w:t>
      </w:r>
      <w:r w:rsidRPr="00C50AC3">
        <w:rPr>
          <w:bCs/>
        </w:rPr>
        <w:t xml:space="preserve"> process that can rapidly restore an odor-compromised property.</w:t>
      </w:r>
    </w:p>
    <w:p w:rsidR="001D7007" w:rsidRPr="00C50AC3" w:rsidRDefault="001D7007" w:rsidP="001D7007">
      <w:pPr>
        <w:jc w:val="both"/>
        <w:rPr>
          <w:bCs/>
        </w:rPr>
      </w:pPr>
    </w:p>
    <w:p w:rsidR="001D7007" w:rsidRPr="00C50AC3" w:rsidRDefault="001D7007" w:rsidP="001D7007">
      <w:pPr>
        <w:jc w:val="both"/>
        <w:rPr>
          <w:bCs/>
        </w:rPr>
      </w:pPr>
      <w:r w:rsidRPr="00C50AC3">
        <w:rPr>
          <w:bCs/>
        </w:rPr>
        <w:t xml:space="preserve">When a property has an acute odor issue caused by fire, </w:t>
      </w:r>
      <w:r>
        <w:rPr>
          <w:bCs/>
        </w:rPr>
        <w:t>water</w:t>
      </w:r>
      <w:r w:rsidRPr="00C50AC3">
        <w:rPr>
          <w:bCs/>
        </w:rPr>
        <w:t>, trauma, or other nuisance odors</w:t>
      </w:r>
      <w:r>
        <w:rPr>
          <w:bCs/>
        </w:rPr>
        <w:t xml:space="preserve"> or chemicals</w:t>
      </w:r>
      <w:r w:rsidRPr="00C50AC3">
        <w:rPr>
          <w:bCs/>
        </w:rPr>
        <w:t xml:space="preserve">, </w:t>
      </w:r>
      <w:r>
        <w:rPr>
          <w:bCs/>
        </w:rPr>
        <w:t>EnviroKlenz</w:t>
      </w:r>
      <w:r w:rsidRPr="00C50AC3">
        <w:rPr>
          <w:bCs/>
        </w:rPr>
        <w:t xml:space="preserve"> can be immediately deployed to </w:t>
      </w:r>
      <w:r>
        <w:rPr>
          <w:bCs/>
        </w:rPr>
        <w:t>begin restoring the environment.</w:t>
      </w:r>
    </w:p>
    <w:p w:rsidR="001D7007" w:rsidRPr="00C50AC3" w:rsidRDefault="001D7007" w:rsidP="001D7007">
      <w:pPr>
        <w:jc w:val="both"/>
        <w:rPr>
          <w:bCs/>
        </w:rPr>
      </w:pPr>
    </w:p>
    <w:p w:rsidR="001D7007" w:rsidRPr="00C50AC3" w:rsidRDefault="001D7007" w:rsidP="001D7007">
      <w:pPr>
        <w:jc w:val="both"/>
        <w:rPr>
          <w:bCs/>
        </w:rPr>
      </w:pPr>
      <w:r>
        <w:rPr>
          <w:bCs/>
        </w:rPr>
        <w:t>EnviroKlenz</w:t>
      </w:r>
      <w:r w:rsidRPr="00C50AC3">
        <w:rPr>
          <w:bCs/>
        </w:rPr>
        <w:t xml:space="preserve"> is the most environmentally friendly odor </w:t>
      </w:r>
      <w:r>
        <w:rPr>
          <w:bCs/>
        </w:rPr>
        <w:t xml:space="preserve">restoration </w:t>
      </w:r>
      <w:r w:rsidRPr="00C50AC3">
        <w:rPr>
          <w:bCs/>
        </w:rPr>
        <w:t>process available. It re</w:t>
      </w:r>
      <w:r>
        <w:rPr>
          <w:bCs/>
        </w:rPr>
        <w:t xml:space="preserve">moves </w:t>
      </w:r>
      <w:r w:rsidRPr="00C50AC3">
        <w:rPr>
          <w:bCs/>
        </w:rPr>
        <w:t>the airborne odor-causing molecules without releasing chemicals into the air like hydroxyl, ozone</w:t>
      </w:r>
      <w:r>
        <w:rPr>
          <w:bCs/>
        </w:rPr>
        <w:t>, masking agents</w:t>
      </w:r>
      <w:r w:rsidRPr="00C50AC3">
        <w:rPr>
          <w:bCs/>
        </w:rPr>
        <w:t xml:space="preserve"> or thermal fogging processes.</w:t>
      </w:r>
    </w:p>
    <w:p w:rsidR="001D7007" w:rsidRDefault="001D7007" w:rsidP="001D7007">
      <w:pPr>
        <w:jc w:val="both"/>
        <w:rPr>
          <w:rFonts w:ascii="Century Gothic" w:hAnsi="Century Gothic"/>
        </w:rPr>
      </w:pPr>
    </w:p>
    <w:p w:rsidR="00B31916" w:rsidRDefault="00B31916" w:rsidP="00B31916"/>
    <w:p w:rsidR="00B31916" w:rsidRPr="00B31916" w:rsidRDefault="00B31916" w:rsidP="00B31916"/>
    <w:p w:rsidR="00B31916" w:rsidRPr="00B31916" w:rsidRDefault="00B31916" w:rsidP="00B31916"/>
    <w:p w:rsidR="00B31916" w:rsidRPr="00B31916" w:rsidRDefault="00B31916" w:rsidP="00B31916"/>
    <w:p w:rsidR="00B31916" w:rsidRPr="00B31916" w:rsidRDefault="00B31916" w:rsidP="00B31916"/>
    <w:p w:rsidR="00B31916" w:rsidRPr="00B31916" w:rsidRDefault="00B31916" w:rsidP="00B31916"/>
    <w:p w:rsidR="00B31916" w:rsidRPr="00B31916" w:rsidRDefault="00B31916" w:rsidP="00B31916"/>
    <w:p w:rsidR="00B31916" w:rsidRPr="00B31916" w:rsidRDefault="00B31916" w:rsidP="00B31916"/>
    <w:p w:rsidR="00B31916" w:rsidRPr="00B31916" w:rsidRDefault="00B31916" w:rsidP="00B31916"/>
    <w:p w:rsidR="00B31916" w:rsidRPr="00B31916" w:rsidRDefault="00B31916" w:rsidP="00B31916"/>
    <w:p w:rsidR="00B31916" w:rsidRPr="00B31916" w:rsidRDefault="00B31916" w:rsidP="00B31916"/>
    <w:p w:rsidR="00B31916" w:rsidRPr="00B31916" w:rsidRDefault="00B31916" w:rsidP="00B31916"/>
    <w:p w:rsidR="00B31916" w:rsidRPr="00B31916" w:rsidRDefault="00B31916" w:rsidP="00B31916"/>
    <w:p w:rsidR="00B31916" w:rsidRDefault="00B31916" w:rsidP="00B31916"/>
    <w:p w:rsidR="0054553D" w:rsidRPr="00B31916" w:rsidRDefault="00B31916" w:rsidP="00B31916">
      <w:pPr>
        <w:tabs>
          <w:tab w:val="left" w:pos="5310"/>
        </w:tabs>
      </w:pPr>
      <w:r>
        <w:tab/>
      </w:r>
    </w:p>
    <w:sectPr w:rsidR="0054553D" w:rsidRPr="00B31916" w:rsidSect="00915FF0">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120" w:rsidRDefault="00706120" w:rsidP="00FC120F">
      <w:r>
        <w:separator/>
      </w:r>
    </w:p>
  </w:endnote>
  <w:endnote w:type="continuationSeparator" w:id="0">
    <w:p w:rsidR="00706120" w:rsidRDefault="00706120" w:rsidP="00FC120F">
      <w:r>
        <w:continuationSeparator/>
      </w:r>
    </w:p>
  </w:endnote>
  <w:endnote w:id="1">
    <w:p w:rsidR="001D7007" w:rsidRPr="00F1004C" w:rsidRDefault="001D7007" w:rsidP="001D7007">
      <w:pPr>
        <w:pStyle w:val="EndnoteText"/>
      </w:pPr>
      <w:r>
        <w:rPr>
          <w:rStyle w:val="EndnoteReference"/>
        </w:rPr>
        <w:endnoteRef/>
      </w:r>
      <w:r w:rsidRPr="00F1004C">
        <w:rPr>
          <w:lang w:val="it-IT"/>
        </w:rPr>
        <w:t xml:space="preserve"> Pollizi V, Delmulle B, Adams A </w:t>
      </w:r>
      <w:r>
        <w:rPr>
          <w:i/>
          <w:lang w:val="it-IT"/>
        </w:rPr>
        <w:t>et al.</w:t>
      </w:r>
      <w:r>
        <w:rPr>
          <w:lang w:val="it-IT"/>
        </w:rPr>
        <w:t xml:space="preserve"> </w:t>
      </w:r>
      <w:r w:rsidRPr="00F1004C">
        <w:t xml:space="preserve">"JEM Spotlight: Fungi, mycotoxins and microbial volatile organic compounds </w:t>
      </w:r>
      <w:r>
        <w:t xml:space="preserve">in mouldy interiors from water-damaged buildings" </w:t>
      </w:r>
      <w:r>
        <w:rPr>
          <w:i/>
        </w:rPr>
        <w:t>J. Environ. Monit.</w:t>
      </w:r>
      <w:r>
        <w:t xml:space="preserve"> </w:t>
      </w:r>
      <w:r>
        <w:rPr>
          <w:b/>
        </w:rPr>
        <w:t>2009</w:t>
      </w:r>
      <w:r>
        <w:t xml:space="preserve"> </w:t>
      </w:r>
      <w:r>
        <w:rPr>
          <w:i/>
        </w:rPr>
        <w:t>11</w:t>
      </w:r>
      <w:r>
        <w:t xml:space="preserve"> 1849.</w:t>
      </w:r>
    </w:p>
  </w:endnote>
  <w:endnote w:id="2">
    <w:p w:rsidR="001D7007" w:rsidRPr="00B64E55" w:rsidRDefault="001D7007" w:rsidP="001D7007">
      <w:pPr>
        <w:pStyle w:val="EndnoteText"/>
      </w:pPr>
      <w:r>
        <w:rPr>
          <w:rStyle w:val="EndnoteReference"/>
        </w:rPr>
        <w:endnoteRef/>
      </w:r>
      <w:r>
        <w:t xml:space="preserve"> Hope AP, Simon RA "Excess dampness and mold growth in homes: an evidence-based review of the aeroirritant effect and its potential causes" </w:t>
      </w:r>
      <w:r>
        <w:rPr>
          <w:i/>
        </w:rPr>
        <w:t>Allergy Asthma Proc.</w:t>
      </w:r>
      <w:r>
        <w:t xml:space="preserve"> </w:t>
      </w:r>
      <w:r>
        <w:rPr>
          <w:b/>
        </w:rPr>
        <w:t>2007</w:t>
      </w:r>
      <w:r>
        <w:t xml:space="preserve"> </w:t>
      </w:r>
      <w:r>
        <w:rPr>
          <w:i/>
        </w:rPr>
        <w:t>28</w:t>
      </w:r>
      <w:r>
        <w:t xml:space="preserve"> 262.</w:t>
      </w:r>
    </w:p>
  </w:endnote>
  <w:endnote w:id="3">
    <w:p w:rsidR="001D7007" w:rsidRPr="001E07ED" w:rsidRDefault="001D7007" w:rsidP="001D7007">
      <w:pPr>
        <w:pStyle w:val="EndnoteText"/>
      </w:pPr>
      <w:r>
        <w:rPr>
          <w:rStyle w:val="EndnoteReference"/>
        </w:rPr>
        <w:endnoteRef/>
      </w:r>
      <w:r>
        <w:t xml:space="preserve"> Thrasher JD, Crawley S "The biocontaminants and complexity of damp indoor spaces: more than what meets the eyes" </w:t>
      </w:r>
      <w:r>
        <w:rPr>
          <w:i/>
        </w:rPr>
        <w:t>Toxicol. Ind. Health</w:t>
      </w:r>
      <w:r>
        <w:t xml:space="preserve"> </w:t>
      </w:r>
      <w:r>
        <w:rPr>
          <w:b/>
        </w:rPr>
        <w:t>2009</w:t>
      </w:r>
      <w:r>
        <w:t xml:space="preserve"> </w:t>
      </w:r>
      <w:r>
        <w:rPr>
          <w:i/>
        </w:rPr>
        <w:t>25</w:t>
      </w:r>
      <w:r>
        <w:t xml:space="preserve"> 583.</w:t>
      </w:r>
    </w:p>
  </w:endnote>
  <w:endnote w:id="4">
    <w:p w:rsidR="001D7007" w:rsidRPr="00D01950" w:rsidRDefault="001D7007" w:rsidP="001D7007">
      <w:pPr>
        <w:pStyle w:val="EndnoteText"/>
      </w:pPr>
      <w:r>
        <w:rPr>
          <w:rStyle w:val="EndnoteReference"/>
        </w:rPr>
        <w:endnoteRef/>
      </w:r>
      <w:r w:rsidRPr="00D01950">
        <w:t xml:space="preserve"> Inamdar AA, Masurekar P, Bennett JW "Neurotoxicity of fungal volatile organic compo</w:t>
      </w:r>
      <w:r>
        <w:t>u</w:t>
      </w:r>
      <w:r w:rsidRPr="00D01950">
        <w:t xml:space="preserve">nds in </w:t>
      </w:r>
      <w:r>
        <w:rPr>
          <w:i/>
        </w:rPr>
        <w:t>Drosophila melanogaster</w:t>
      </w:r>
      <w:r>
        <w:t xml:space="preserve">" </w:t>
      </w:r>
      <w:r>
        <w:rPr>
          <w:i/>
        </w:rPr>
        <w:t>Toxicol. Sci.</w:t>
      </w:r>
      <w:r>
        <w:t xml:space="preserve"> </w:t>
      </w:r>
      <w:r>
        <w:rPr>
          <w:b/>
        </w:rPr>
        <w:t>2010</w:t>
      </w:r>
      <w:r>
        <w:t xml:space="preserve"> </w:t>
      </w:r>
      <w:r>
        <w:rPr>
          <w:i/>
        </w:rPr>
        <w:t>117</w:t>
      </w:r>
      <w:r>
        <w:t xml:space="preserve"> 418.</w:t>
      </w:r>
    </w:p>
  </w:endnote>
  <w:endnote w:id="5">
    <w:p w:rsidR="001D7007" w:rsidRPr="00F51951" w:rsidRDefault="001D7007" w:rsidP="001D7007">
      <w:pPr>
        <w:pStyle w:val="EndnoteText"/>
      </w:pPr>
      <w:r>
        <w:rPr>
          <w:rStyle w:val="EndnoteReference"/>
        </w:rPr>
        <w:endnoteRef/>
      </w:r>
      <w:r>
        <w:t xml:space="preserve"> Pestka JJ, Yike I, Dearborn DG </w:t>
      </w:r>
      <w:r>
        <w:rPr>
          <w:i/>
        </w:rPr>
        <w:t>et al.</w:t>
      </w:r>
      <w:r>
        <w:t xml:space="preserve"> "</w:t>
      </w:r>
      <w:r>
        <w:rPr>
          <w:i/>
        </w:rPr>
        <w:t>Stachybotrys chartarum</w:t>
      </w:r>
      <w:r>
        <w:t xml:space="preserve">, trichothecene mycotoxins, and damp building-related illness:  new insights into a public health enigma" </w:t>
      </w:r>
      <w:r>
        <w:rPr>
          <w:i/>
        </w:rPr>
        <w:t>Toxicol. Sci.</w:t>
      </w:r>
      <w:r>
        <w:t xml:space="preserve"> </w:t>
      </w:r>
      <w:r>
        <w:rPr>
          <w:b/>
        </w:rPr>
        <w:t>2008</w:t>
      </w:r>
      <w:r>
        <w:t xml:space="preserve"> </w:t>
      </w:r>
      <w:r>
        <w:rPr>
          <w:i/>
        </w:rPr>
        <w:t>104</w:t>
      </w:r>
      <w:r>
        <w:t xml:space="preserve"> 4.</w:t>
      </w:r>
    </w:p>
  </w:endnote>
  <w:endnote w:id="6">
    <w:p w:rsidR="001D7007" w:rsidRPr="004336EE" w:rsidRDefault="001D7007" w:rsidP="001D7007">
      <w:pPr>
        <w:pStyle w:val="EndnoteText"/>
      </w:pPr>
      <w:r>
        <w:rPr>
          <w:rStyle w:val="EndnoteReference"/>
        </w:rPr>
        <w:endnoteRef/>
      </w:r>
      <w:r>
        <w:t xml:space="preserve"> Kilburn KH "Neurobehavioral and pulmonary impairment in 105 adults with indoor exposure to molds compared to 100 exposed to chemicals" </w:t>
      </w:r>
      <w:r>
        <w:rPr>
          <w:i/>
        </w:rPr>
        <w:t>Toxicol. Ind. Health</w:t>
      </w:r>
      <w:r>
        <w:t xml:space="preserve"> </w:t>
      </w:r>
      <w:r>
        <w:rPr>
          <w:b/>
        </w:rPr>
        <w:t>2009</w:t>
      </w:r>
      <w:r>
        <w:t xml:space="preserve"> </w:t>
      </w:r>
      <w:r>
        <w:rPr>
          <w:i/>
        </w:rPr>
        <w:t>25</w:t>
      </w:r>
      <w:r>
        <w:t xml:space="preserve"> 681.</w:t>
      </w:r>
    </w:p>
  </w:endnote>
  <w:endnote w:id="7">
    <w:p w:rsidR="001D7007" w:rsidRPr="00712507" w:rsidRDefault="001D7007" w:rsidP="001D7007">
      <w:pPr>
        <w:pStyle w:val="EndnoteText"/>
      </w:pPr>
      <w:r>
        <w:rPr>
          <w:rStyle w:val="EndnoteReference"/>
        </w:rPr>
        <w:endnoteRef/>
      </w:r>
      <w:r>
        <w:t xml:space="preserve"> Centers for Disease Control, "Indoor Environmental Quality: Dampness and Mold in Buildings", online at </w:t>
      </w:r>
      <w:r w:rsidRPr="00712507">
        <w:t>http://www.cdc.gov/niosh/topics/indoorenv/mold.html</w:t>
      </w:r>
      <w:r>
        <w:t>. Accessed January 11, 2011</w:t>
      </w:r>
    </w:p>
  </w:endnote>
  <w:endnote w:id="8">
    <w:p w:rsidR="001D7007" w:rsidRPr="00814F79" w:rsidRDefault="001D7007" w:rsidP="001D7007">
      <w:pPr>
        <w:pStyle w:val="EndnoteText"/>
      </w:pPr>
      <w:r>
        <w:rPr>
          <w:rStyle w:val="EndnoteReference"/>
        </w:rPr>
        <w:endnoteRef/>
      </w:r>
      <w:r>
        <w:t xml:space="preserve"> United States Environmental Protection Agency"</w:t>
      </w:r>
      <w:r w:rsidRPr="00814F79">
        <w:t xml:space="preserve"> </w:t>
      </w:r>
      <w:r>
        <w:t xml:space="preserve">Guidance for Clinicians on the Recognition and Management of Health Effects Related to Mold Exposure and Moisture Indoors" </w:t>
      </w:r>
      <w:r>
        <w:rPr>
          <w:b/>
        </w:rPr>
        <w:t>2004</w:t>
      </w:r>
      <w:r>
        <w:t xml:space="preserve">, online at </w:t>
      </w:r>
      <w:r w:rsidRPr="00814F79">
        <w:t>http://oehc.uchc.edu/images/PDFs/MOLD%20GUIDE.pdf</w:t>
      </w:r>
      <w:r>
        <w:t>. Accessed January 11, 2011</w:t>
      </w:r>
    </w:p>
  </w:endnote>
  <w:endnote w:id="9">
    <w:p w:rsidR="001D7007" w:rsidRPr="00307B61" w:rsidRDefault="001D7007" w:rsidP="001D7007">
      <w:pPr>
        <w:pStyle w:val="EndnoteText"/>
      </w:pPr>
      <w:r>
        <w:rPr>
          <w:rStyle w:val="EndnoteReference"/>
        </w:rPr>
        <w:endnoteRef/>
      </w:r>
      <w:r>
        <w:t xml:space="preserve"> Matysik S, Herbarth O, Mueller A "Determination of microbial volatile organic compounds (MVOCs) by passive sampling onto charcoal sorbents" </w:t>
      </w:r>
      <w:r>
        <w:rPr>
          <w:i/>
        </w:rPr>
        <w:t>Chemosphere</w:t>
      </w:r>
      <w:r>
        <w:t xml:space="preserve"> </w:t>
      </w:r>
      <w:r>
        <w:rPr>
          <w:b/>
        </w:rPr>
        <w:t>2009</w:t>
      </w:r>
      <w:r>
        <w:t xml:space="preserve"> </w:t>
      </w:r>
      <w:r>
        <w:rPr>
          <w:i/>
        </w:rPr>
        <w:t>76</w:t>
      </w:r>
      <w:r>
        <w:rPr>
          <w:b/>
          <w:i/>
        </w:rPr>
        <w:t xml:space="preserve"> </w:t>
      </w:r>
      <w:r>
        <w:t>114.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Premr Pro">
    <w:panose1 w:val="00000000000000000000"/>
    <w:charset w:val="00"/>
    <w:family w:val="roman"/>
    <w:notTrueType/>
    <w:pitch w:val="variable"/>
    <w:sig w:usb0="E00002BF" w:usb1="5000E07B" w:usb2="00000000" w:usb3="00000000" w:csb0="0000019F" w:csb1="00000000"/>
  </w:font>
  <w:font w:name="Garamond Premr Pro Smbd">
    <w:panose1 w:val="00000000000000000000"/>
    <w:charset w:val="00"/>
    <w:family w:val="roman"/>
    <w:notTrueType/>
    <w:pitch w:val="variable"/>
    <w:sig w:usb0="E00002B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3D" w:rsidRDefault="0054553D">
    <w:pPr>
      <w:pStyle w:val="Footer"/>
      <w:jc w:val="center"/>
    </w:pPr>
    <w:r>
      <w:t>____________________________________________________________________________________</w:t>
    </w:r>
  </w:p>
  <w:p w:rsidR="0054553D" w:rsidRPr="00E802CC" w:rsidRDefault="00E802CC" w:rsidP="00E802CC">
    <w:pPr>
      <w:pStyle w:val="Footer"/>
      <w:jc w:val="center"/>
      <w:rPr>
        <w:rFonts w:ascii="Century Gothic" w:hAnsi="Century Gothic"/>
        <w:sz w:val="16"/>
        <w:szCs w:val="16"/>
      </w:rPr>
    </w:pPr>
    <w:r>
      <w:rPr>
        <w:rFonts w:ascii="Century Gothic" w:hAnsi="Century Gothic"/>
        <w:sz w:val="16"/>
        <w:szCs w:val="16"/>
      </w:rPr>
      <w:t xml:space="preserve">EnviroKlenz® • </w:t>
    </w:r>
    <w:r w:rsidR="00F12540">
      <w:rPr>
        <w:rFonts w:ascii="Century Gothic" w:hAnsi="Century Gothic"/>
        <w:sz w:val="16"/>
        <w:szCs w:val="16"/>
      </w:rPr>
      <w:t>13421 Parker Commons Blvd. #102 • Fort Myers, FL 33912 • 239.330.9650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120" w:rsidRDefault="00706120" w:rsidP="00FC120F">
      <w:r>
        <w:separator/>
      </w:r>
    </w:p>
  </w:footnote>
  <w:footnote w:type="continuationSeparator" w:id="0">
    <w:p w:rsidR="00706120" w:rsidRDefault="00706120" w:rsidP="00FC1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2E9" w:rsidRDefault="005362E9">
    <w:pPr>
      <w:pStyle w:val="Header"/>
    </w:pPr>
    <w:r>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530DED10" wp14:editId="584C68E9">
              <wp:simplePos x="0" y="0"/>
              <wp:positionH relativeFrom="column">
                <wp:posOffset>6019800</wp:posOffset>
              </wp:positionH>
              <wp:positionV relativeFrom="paragraph">
                <wp:posOffset>-135255</wp:posOffset>
              </wp:positionV>
              <wp:extent cx="272415" cy="3238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5362E9" w:rsidRPr="00B31916" w:rsidRDefault="005362E9" w:rsidP="005362E9">
                          <w:pPr>
                            <w:rPr>
                              <w:color w:val="2F5496" w:themeColor="accent5" w:themeShade="BF"/>
                              <w:sz w:val="48"/>
                            </w:rPr>
                          </w:pPr>
                          <w:r w:rsidRPr="00B31916">
                            <w:rPr>
                              <w:color w:val="2F5496" w:themeColor="accent5" w:themeShade="BF"/>
                              <w:sz w:val="4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0DED10" id="_x0000_t202" coordsize="21600,21600" o:spt="202" path="m,l,21600r21600,l21600,xe">
              <v:stroke joinstyle="miter"/>
              <v:path gradientshapeok="t" o:connecttype="rect"/>
            </v:shapetype>
            <v:shape id="Text Box 9" o:spid="_x0000_s1026" type="#_x0000_t202" style="position:absolute;margin-left:474pt;margin-top:-10.65pt;width:21.45pt;height: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" filled="f" stroked="f" strokecolor="white [3212]">
              <v:textbox>
                <w:txbxContent>
                  <w:p w:rsidR="005362E9" w:rsidRPr="00B31916" w:rsidRDefault="005362E9" w:rsidP="005362E9">
                    <w:pPr>
                      <w:rPr>
                        <w:color w:val="2F5496" w:themeColor="accent5" w:themeShade="BF"/>
                        <w:sz w:val="48"/>
                      </w:rPr>
                    </w:pPr>
                    <w:r w:rsidRPr="00B31916">
                      <w:rPr>
                        <w:color w:val="2F5496" w:themeColor="accent5" w:themeShade="BF"/>
                        <w:sz w:val="48"/>
                      </w:rPr>
                      <w:t>®</w:t>
                    </w:r>
                  </w:p>
                </w:txbxContent>
              </v:textbox>
            </v:shape>
          </w:pict>
        </mc:Fallback>
      </mc:AlternateContent>
    </w:r>
    <w:r w:rsidRPr="0043544E">
      <w:rPr>
        <w:rFonts w:ascii="Tw Cen MT" w:hAnsi="Tw Cen MT" w:cs="Arial"/>
        <w:i/>
        <w:noProof/>
        <w:sz w:val="44"/>
        <w:szCs w:val="44"/>
      </w:rPr>
      <w:drawing>
        <wp:anchor distT="0" distB="0" distL="114300" distR="114300" simplePos="0" relativeHeight="251659264" behindDoc="0" locked="0" layoutInCell="1" allowOverlap="1" wp14:anchorId="1BDD8051" wp14:editId="1B905122">
          <wp:simplePos x="0" y="0"/>
          <wp:positionH relativeFrom="column">
            <wp:posOffset>4116070</wp:posOffset>
          </wp:positionH>
          <wp:positionV relativeFrom="paragraph">
            <wp:posOffset>-85725</wp:posOffset>
          </wp:positionV>
          <wp:extent cx="2009024" cy="276225"/>
          <wp:effectExtent l="0" t="0" r="0" b="0"/>
          <wp:wrapNone/>
          <wp:docPr id="3" name="Picture 3" descr="Z:\Associate Folders\Kyle Knappenberger\kknappenberger\New Branding Label Concepts\EnviroKlenz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ssociate Folders\Kyle Knappenberger\kknappenberger\New Branding Label Concepts\EnviroKlenz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r="7030"/>
                  <a:stretch/>
                </pic:blipFill>
                <pic:spPr bwMode="auto">
                  <a:xfrm>
                    <a:off x="0" y="0"/>
                    <a:ext cx="2009024" cy="276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86903"/>
    <w:multiLevelType w:val="hybridMultilevel"/>
    <w:tmpl w:val="E7847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C2B05"/>
    <w:multiLevelType w:val="hybridMultilevel"/>
    <w:tmpl w:val="4EA205C0"/>
    <w:lvl w:ilvl="0" w:tplc="BC66094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86CB5"/>
    <w:multiLevelType w:val="hybridMultilevel"/>
    <w:tmpl w:val="183E87AC"/>
    <w:lvl w:ilvl="0" w:tplc="83E672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84F3B"/>
    <w:multiLevelType w:val="hybridMultilevel"/>
    <w:tmpl w:val="CC821BCA"/>
    <w:lvl w:ilvl="0" w:tplc="77C093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B4B00"/>
    <w:multiLevelType w:val="hybridMultilevel"/>
    <w:tmpl w:val="02DC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17E9B"/>
    <w:multiLevelType w:val="hybridMultilevel"/>
    <w:tmpl w:val="B502A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73D6DFA"/>
    <w:multiLevelType w:val="hybridMultilevel"/>
    <w:tmpl w:val="14C2AD9E"/>
    <w:lvl w:ilvl="0" w:tplc="56F09CA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3253D8"/>
    <w:multiLevelType w:val="hybridMultilevel"/>
    <w:tmpl w:val="EC622F30"/>
    <w:lvl w:ilvl="0" w:tplc="893C2D6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B81191"/>
    <w:multiLevelType w:val="hybridMultilevel"/>
    <w:tmpl w:val="4FB8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C1A1E"/>
    <w:multiLevelType w:val="hybridMultilevel"/>
    <w:tmpl w:val="6F70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B31DD9"/>
    <w:multiLevelType w:val="hybridMultilevel"/>
    <w:tmpl w:val="795AE8A2"/>
    <w:lvl w:ilvl="0" w:tplc="17989C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7A1B16"/>
    <w:multiLevelType w:val="hybridMultilevel"/>
    <w:tmpl w:val="B6B4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B96107"/>
    <w:multiLevelType w:val="hybridMultilevel"/>
    <w:tmpl w:val="6A968A86"/>
    <w:lvl w:ilvl="0" w:tplc="1F7658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255B0"/>
    <w:multiLevelType w:val="hybridMultilevel"/>
    <w:tmpl w:val="BCDE0BB6"/>
    <w:lvl w:ilvl="0" w:tplc="E9EC82D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AE7ACD"/>
    <w:multiLevelType w:val="hybridMultilevel"/>
    <w:tmpl w:val="A0C4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E1249"/>
    <w:multiLevelType w:val="hybridMultilevel"/>
    <w:tmpl w:val="6CEE8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670621"/>
    <w:multiLevelType w:val="hybridMultilevel"/>
    <w:tmpl w:val="6DF02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41B17"/>
    <w:multiLevelType w:val="hybridMultilevel"/>
    <w:tmpl w:val="ACBC4966"/>
    <w:lvl w:ilvl="0" w:tplc="1B366C5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5C071B"/>
    <w:multiLevelType w:val="hybridMultilevel"/>
    <w:tmpl w:val="F04649AC"/>
    <w:lvl w:ilvl="0" w:tplc="8A569B7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7"/>
  </w:num>
  <w:num w:numId="4">
    <w:abstractNumId w:val="11"/>
  </w:num>
  <w:num w:numId="5">
    <w:abstractNumId w:val="6"/>
  </w:num>
  <w:num w:numId="6">
    <w:abstractNumId w:val="13"/>
  </w:num>
  <w:num w:numId="7">
    <w:abstractNumId w:val="17"/>
  </w:num>
  <w:num w:numId="8">
    <w:abstractNumId w:val="3"/>
  </w:num>
  <w:num w:numId="9">
    <w:abstractNumId w:val="18"/>
  </w:num>
  <w:num w:numId="10">
    <w:abstractNumId w:val="12"/>
  </w:num>
  <w:num w:numId="11">
    <w:abstractNumId w:val="10"/>
  </w:num>
  <w:num w:numId="12">
    <w:abstractNumId w:val="2"/>
  </w:num>
  <w:num w:numId="13">
    <w:abstractNumId w:val="5"/>
  </w:num>
  <w:num w:numId="14">
    <w:abstractNumId w:val="16"/>
  </w:num>
  <w:num w:numId="15">
    <w:abstractNumId w:val="4"/>
  </w:num>
  <w:num w:numId="16">
    <w:abstractNumId w:val="15"/>
  </w:num>
  <w:num w:numId="17">
    <w:abstractNumId w:val="0"/>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007"/>
    <w:rsid w:val="00010B93"/>
    <w:rsid w:val="00024A75"/>
    <w:rsid w:val="000767D7"/>
    <w:rsid w:val="000A48FF"/>
    <w:rsid w:val="00102BA6"/>
    <w:rsid w:val="00107D29"/>
    <w:rsid w:val="00121C1B"/>
    <w:rsid w:val="001229E5"/>
    <w:rsid w:val="00155C82"/>
    <w:rsid w:val="00171824"/>
    <w:rsid w:val="00182218"/>
    <w:rsid w:val="001D6733"/>
    <w:rsid w:val="001D7007"/>
    <w:rsid w:val="001F5D3B"/>
    <w:rsid w:val="002016C1"/>
    <w:rsid w:val="00211FB0"/>
    <w:rsid w:val="0024060D"/>
    <w:rsid w:val="00263F1A"/>
    <w:rsid w:val="00287B0A"/>
    <w:rsid w:val="002C39D7"/>
    <w:rsid w:val="002E0A0E"/>
    <w:rsid w:val="00333745"/>
    <w:rsid w:val="00347320"/>
    <w:rsid w:val="00381DE2"/>
    <w:rsid w:val="003838BB"/>
    <w:rsid w:val="003914A5"/>
    <w:rsid w:val="003E61E1"/>
    <w:rsid w:val="003E6F80"/>
    <w:rsid w:val="0040120C"/>
    <w:rsid w:val="004112F3"/>
    <w:rsid w:val="00430B90"/>
    <w:rsid w:val="00433B3B"/>
    <w:rsid w:val="00481655"/>
    <w:rsid w:val="004837D9"/>
    <w:rsid w:val="004C2082"/>
    <w:rsid w:val="004E5863"/>
    <w:rsid w:val="004F0D30"/>
    <w:rsid w:val="00507C02"/>
    <w:rsid w:val="0051260C"/>
    <w:rsid w:val="0053263C"/>
    <w:rsid w:val="005362E9"/>
    <w:rsid w:val="00544CBF"/>
    <w:rsid w:val="0054553D"/>
    <w:rsid w:val="00582D33"/>
    <w:rsid w:val="005B5540"/>
    <w:rsid w:val="006141CC"/>
    <w:rsid w:val="00614E5B"/>
    <w:rsid w:val="006223E2"/>
    <w:rsid w:val="006401E3"/>
    <w:rsid w:val="00643CFF"/>
    <w:rsid w:val="00643F68"/>
    <w:rsid w:val="0069327F"/>
    <w:rsid w:val="00693B2B"/>
    <w:rsid w:val="006D7794"/>
    <w:rsid w:val="006E0069"/>
    <w:rsid w:val="00706120"/>
    <w:rsid w:val="00756EEA"/>
    <w:rsid w:val="00763FBD"/>
    <w:rsid w:val="007771DD"/>
    <w:rsid w:val="007A6A9A"/>
    <w:rsid w:val="008B0F56"/>
    <w:rsid w:val="0091459C"/>
    <w:rsid w:val="00915FF0"/>
    <w:rsid w:val="00942126"/>
    <w:rsid w:val="0094415E"/>
    <w:rsid w:val="00951085"/>
    <w:rsid w:val="00956DEE"/>
    <w:rsid w:val="0097689F"/>
    <w:rsid w:val="009847C5"/>
    <w:rsid w:val="00992C95"/>
    <w:rsid w:val="009C2381"/>
    <w:rsid w:val="00A13522"/>
    <w:rsid w:val="00A842A0"/>
    <w:rsid w:val="00A86152"/>
    <w:rsid w:val="00AB0473"/>
    <w:rsid w:val="00AB5D65"/>
    <w:rsid w:val="00B00FD2"/>
    <w:rsid w:val="00B31916"/>
    <w:rsid w:val="00B63A04"/>
    <w:rsid w:val="00B64B6C"/>
    <w:rsid w:val="00BA3555"/>
    <w:rsid w:val="00BA6CA6"/>
    <w:rsid w:val="00BB1E6B"/>
    <w:rsid w:val="00BC1836"/>
    <w:rsid w:val="00C0516E"/>
    <w:rsid w:val="00C31C1E"/>
    <w:rsid w:val="00C574E8"/>
    <w:rsid w:val="00C61F5D"/>
    <w:rsid w:val="00C64034"/>
    <w:rsid w:val="00C668A3"/>
    <w:rsid w:val="00CA4888"/>
    <w:rsid w:val="00CC03F2"/>
    <w:rsid w:val="00CC0B7C"/>
    <w:rsid w:val="00D4003E"/>
    <w:rsid w:val="00D4492A"/>
    <w:rsid w:val="00D717C7"/>
    <w:rsid w:val="00DE2732"/>
    <w:rsid w:val="00DF535A"/>
    <w:rsid w:val="00E12174"/>
    <w:rsid w:val="00E57857"/>
    <w:rsid w:val="00E802CC"/>
    <w:rsid w:val="00E96110"/>
    <w:rsid w:val="00EC3718"/>
    <w:rsid w:val="00F02F01"/>
    <w:rsid w:val="00F12540"/>
    <w:rsid w:val="00F27627"/>
    <w:rsid w:val="00F64C46"/>
    <w:rsid w:val="00F87C93"/>
    <w:rsid w:val="00FC120F"/>
    <w:rsid w:val="00FE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5C7557-1548-45BB-BDDD-31B815CA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00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7007"/>
    <w:pPr>
      <w:keepNext/>
      <w:jc w:val="both"/>
      <w:outlineLvl w:val="0"/>
    </w:pPr>
    <w:rPr>
      <w:b/>
      <w:bCs/>
    </w:rPr>
  </w:style>
  <w:style w:type="paragraph" w:styleId="Heading2">
    <w:name w:val="heading 2"/>
    <w:basedOn w:val="Normal"/>
    <w:next w:val="Normal"/>
    <w:link w:val="Heading2Char"/>
    <w:qFormat/>
    <w:rsid w:val="001D7007"/>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MagazineStyle">
    <w:name w:val="Body 2 (Magazine Style)"/>
    <w:basedOn w:val="Normal"/>
    <w:uiPriority w:val="99"/>
    <w:rsid w:val="00614E5B"/>
    <w:pPr>
      <w:autoSpaceDE w:val="0"/>
      <w:autoSpaceDN w:val="0"/>
      <w:adjustRightInd w:val="0"/>
      <w:spacing w:after="100" w:line="288" w:lineRule="auto"/>
      <w:jc w:val="both"/>
      <w:textAlignment w:val="center"/>
    </w:pPr>
    <w:rPr>
      <w:rFonts w:ascii="Garamond Premr Pro" w:hAnsi="Garamond Premr Pro" w:cs="Garamond Premr Pro"/>
      <w:color w:val="000000"/>
      <w:sz w:val="20"/>
      <w:szCs w:val="20"/>
    </w:rPr>
  </w:style>
  <w:style w:type="paragraph" w:customStyle="1" w:styleId="Head5MagazineStyle">
    <w:name w:val="Head 5 (Magazine Style)"/>
    <w:basedOn w:val="Normal"/>
    <w:uiPriority w:val="99"/>
    <w:rsid w:val="00614E5B"/>
    <w:pPr>
      <w:autoSpaceDE w:val="0"/>
      <w:autoSpaceDN w:val="0"/>
      <w:adjustRightInd w:val="0"/>
      <w:spacing w:after="100" w:line="288" w:lineRule="auto"/>
      <w:textAlignment w:val="center"/>
    </w:pPr>
    <w:rPr>
      <w:rFonts w:ascii="Garamond Premr Pro Smbd" w:hAnsi="Garamond Premr Pro Smbd" w:cs="Garamond Premr Pro Smbd"/>
      <w:b/>
      <w:bCs/>
      <w:color w:val="000000"/>
      <w:sz w:val="28"/>
      <w:szCs w:val="28"/>
    </w:rPr>
  </w:style>
  <w:style w:type="paragraph" w:styleId="Header">
    <w:name w:val="header"/>
    <w:basedOn w:val="Normal"/>
    <w:link w:val="HeaderChar"/>
    <w:uiPriority w:val="99"/>
    <w:unhideWhenUsed/>
    <w:rsid w:val="00FC120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C120F"/>
  </w:style>
  <w:style w:type="paragraph" w:styleId="Footer">
    <w:name w:val="footer"/>
    <w:basedOn w:val="Normal"/>
    <w:link w:val="FooterChar"/>
    <w:unhideWhenUsed/>
    <w:rsid w:val="00FC120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FC120F"/>
  </w:style>
  <w:style w:type="paragraph" w:styleId="ListParagraph">
    <w:name w:val="List Paragraph"/>
    <w:basedOn w:val="Normal"/>
    <w:uiPriority w:val="34"/>
    <w:qFormat/>
    <w:rsid w:val="007771DD"/>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51260C"/>
    <w:rPr>
      <w:color w:val="0000FF"/>
      <w:u w:val="single"/>
    </w:rPr>
  </w:style>
  <w:style w:type="table" w:styleId="TableGrid">
    <w:name w:val="Table Grid"/>
    <w:basedOn w:val="TableNormal"/>
    <w:uiPriority w:val="39"/>
    <w:rsid w:val="00122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5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D3B"/>
    <w:rPr>
      <w:rFonts w:ascii="Segoe UI" w:hAnsi="Segoe UI" w:cs="Segoe UI"/>
      <w:sz w:val="18"/>
      <w:szCs w:val="18"/>
    </w:rPr>
  </w:style>
  <w:style w:type="character" w:customStyle="1" w:styleId="Heading1Char">
    <w:name w:val="Heading 1 Char"/>
    <w:basedOn w:val="DefaultParagraphFont"/>
    <w:link w:val="Heading1"/>
    <w:rsid w:val="001D700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1D7007"/>
    <w:rPr>
      <w:rFonts w:ascii="Times New Roman" w:eastAsia="Times New Roman" w:hAnsi="Times New Roman" w:cs="Times New Roman"/>
      <w:b/>
      <w:bCs/>
      <w:sz w:val="24"/>
      <w:szCs w:val="24"/>
    </w:rPr>
  </w:style>
  <w:style w:type="paragraph" w:styleId="BodyText">
    <w:name w:val="Body Text"/>
    <w:basedOn w:val="Normal"/>
    <w:link w:val="BodyTextChar"/>
    <w:rsid w:val="001D7007"/>
    <w:pPr>
      <w:jc w:val="both"/>
    </w:pPr>
  </w:style>
  <w:style w:type="character" w:customStyle="1" w:styleId="BodyTextChar">
    <w:name w:val="Body Text Char"/>
    <w:basedOn w:val="DefaultParagraphFont"/>
    <w:link w:val="BodyText"/>
    <w:rsid w:val="001D7007"/>
    <w:rPr>
      <w:rFonts w:ascii="Times New Roman" w:eastAsia="Times New Roman" w:hAnsi="Times New Roman" w:cs="Times New Roman"/>
      <w:sz w:val="24"/>
      <w:szCs w:val="24"/>
    </w:rPr>
  </w:style>
  <w:style w:type="paragraph" w:styleId="EndnoteText">
    <w:name w:val="endnote text"/>
    <w:basedOn w:val="Normal"/>
    <w:link w:val="EndnoteTextChar"/>
    <w:semiHidden/>
    <w:rsid w:val="001D7007"/>
    <w:rPr>
      <w:sz w:val="20"/>
      <w:szCs w:val="20"/>
    </w:rPr>
  </w:style>
  <w:style w:type="character" w:customStyle="1" w:styleId="EndnoteTextChar">
    <w:name w:val="Endnote Text Char"/>
    <w:basedOn w:val="DefaultParagraphFont"/>
    <w:link w:val="EndnoteText"/>
    <w:semiHidden/>
    <w:rsid w:val="001D7007"/>
    <w:rPr>
      <w:rFonts w:ascii="Times New Roman" w:eastAsia="Times New Roman" w:hAnsi="Times New Roman" w:cs="Times New Roman"/>
      <w:sz w:val="20"/>
      <w:szCs w:val="20"/>
    </w:rPr>
  </w:style>
  <w:style w:type="character" w:styleId="EndnoteReference">
    <w:name w:val="endnote reference"/>
    <w:semiHidden/>
    <w:rsid w:val="001D70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8132">
      <w:bodyDiv w:val="1"/>
      <w:marLeft w:val="0"/>
      <w:marRight w:val="0"/>
      <w:marTop w:val="0"/>
      <w:marBottom w:val="0"/>
      <w:divBdr>
        <w:top w:val="none" w:sz="0" w:space="0" w:color="auto"/>
        <w:left w:val="none" w:sz="0" w:space="0" w:color="auto"/>
        <w:bottom w:val="none" w:sz="0" w:space="0" w:color="auto"/>
        <w:right w:val="none" w:sz="0" w:space="0" w:color="auto"/>
      </w:divBdr>
    </w:div>
    <w:div w:id="152837657">
      <w:bodyDiv w:val="1"/>
      <w:marLeft w:val="0"/>
      <w:marRight w:val="0"/>
      <w:marTop w:val="0"/>
      <w:marBottom w:val="0"/>
      <w:divBdr>
        <w:top w:val="none" w:sz="0" w:space="0" w:color="auto"/>
        <w:left w:val="none" w:sz="0" w:space="0" w:color="auto"/>
        <w:bottom w:val="none" w:sz="0" w:space="0" w:color="auto"/>
        <w:right w:val="none" w:sz="0" w:space="0" w:color="auto"/>
      </w:divBdr>
    </w:div>
    <w:div w:id="184251403">
      <w:bodyDiv w:val="1"/>
      <w:marLeft w:val="0"/>
      <w:marRight w:val="0"/>
      <w:marTop w:val="0"/>
      <w:marBottom w:val="0"/>
      <w:divBdr>
        <w:top w:val="none" w:sz="0" w:space="0" w:color="auto"/>
        <w:left w:val="none" w:sz="0" w:space="0" w:color="auto"/>
        <w:bottom w:val="none" w:sz="0" w:space="0" w:color="auto"/>
        <w:right w:val="none" w:sz="0" w:space="0" w:color="auto"/>
      </w:divBdr>
    </w:div>
    <w:div w:id="387384426">
      <w:bodyDiv w:val="1"/>
      <w:marLeft w:val="0"/>
      <w:marRight w:val="0"/>
      <w:marTop w:val="0"/>
      <w:marBottom w:val="0"/>
      <w:divBdr>
        <w:top w:val="none" w:sz="0" w:space="0" w:color="auto"/>
        <w:left w:val="none" w:sz="0" w:space="0" w:color="auto"/>
        <w:bottom w:val="none" w:sz="0" w:space="0" w:color="auto"/>
        <w:right w:val="none" w:sz="0" w:space="0" w:color="auto"/>
      </w:divBdr>
    </w:div>
    <w:div w:id="703478038">
      <w:bodyDiv w:val="1"/>
      <w:marLeft w:val="0"/>
      <w:marRight w:val="0"/>
      <w:marTop w:val="0"/>
      <w:marBottom w:val="0"/>
      <w:divBdr>
        <w:top w:val="none" w:sz="0" w:space="0" w:color="auto"/>
        <w:left w:val="none" w:sz="0" w:space="0" w:color="auto"/>
        <w:bottom w:val="none" w:sz="0" w:space="0" w:color="auto"/>
        <w:right w:val="none" w:sz="0" w:space="0" w:color="auto"/>
      </w:divBdr>
    </w:div>
    <w:div w:id="828247368">
      <w:bodyDiv w:val="1"/>
      <w:marLeft w:val="0"/>
      <w:marRight w:val="0"/>
      <w:marTop w:val="0"/>
      <w:marBottom w:val="0"/>
      <w:divBdr>
        <w:top w:val="none" w:sz="0" w:space="0" w:color="auto"/>
        <w:left w:val="none" w:sz="0" w:space="0" w:color="auto"/>
        <w:bottom w:val="none" w:sz="0" w:space="0" w:color="auto"/>
        <w:right w:val="none" w:sz="0" w:space="0" w:color="auto"/>
      </w:divBdr>
    </w:div>
    <w:div w:id="1874265025">
      <w:bodyDiv w:val="1"/>
      <w:marLeft w:val="0"/>
      <w:marRight w:val="0"/>
      <w:marTop w:val="0"/>
      <w:marBottom w:val="0"/>
      <w:divBdr>
        <w:top w:val="none" w:sz="0" w:space="0" w:color="auto"/>
        <w:left w:val="none" w:sz="0" w:space="0" w:color="auto"/>
        <w:bottom w:val="none" w:sz="0" w:space="0" w:color="auto"/>
        <w:right w:val="none" w:sz="0" w:space="0" w:color="auto"/>
      </w:divBdr>
    </w:div>
    <w:div w:id="2112823157">
      <w:bodyDiv w:val="1"/>
      <w:marLeft w:val="0"/>
      <w:marRight w:val="0"/>
      <w:marTop w:val="0"/>
      <w:marBottom w:val="0"/>
      <w:divBdr>
        <w:top w:val="none" w:sz="0" w:space="0" w:color="auto"/>
        <w:left w:val="none" w:sz="0" w:space="0" w:color="auto"/>
        <w:bottom w:val="none" w:sz="0" w:space="0" w:color="auto"/>
        <w:right w:val="none" w:sz="0" w:space="0" w:color="auto"/>
      </w:divBdr>
    </w:div>
    <w:div w:id="212992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le%20Knappenberger\Documents\Custom%20Office%20Templates\EnviroKlenz%20Letterhead%20134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318CA-2F02-48F7-97FE-795DD549D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EnviroKlenz Letterhead 13421</Template>
  <TotalTime>0</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Knappenberger</dc:creator>
  <cp:keywords/>
  <dc:description/>
  <cp:lastModifiedBy>Daniel Benson</cp:lastModifiedBy>
  <cp:revision>2</cp:revision>
  <cp:lastPrinted>2015-07-13T20:37:00Z</cp:lastPrinted>
  <dcterms:created xsi:type="dcterms:W3CDTF">2017-11-20T21:55:00Z</dcterms:created>
  <dcterms:modified xsi:type="dcterms:W3CDTF">2017-11-20T21:55:00Z</dcterms:modified>
</cp:coreProperties>
</file>